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D246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EB9C66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Gemeinde</w:t>
      </w:r>
    </w:p>
    <w:p w14:paraId="7ADBCE24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Anschrift</w:t>
      </w:r>
    </w:p>
    <w:p w14:paraId="5D803A28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43ECC5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 xml:space="preserve">Datum: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p w14:paraId="17DF0C0C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Geschäftszahl:</w:t>
      </w:r>
    </w:p>
    <w:p w14:paraId="62DDF0F7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Sachbearbeiter</w:t>
      </w:r>
      <w:r w:rsidR="00801539">
        <w:rPr>
          <w:rStyle w:val="Funotenzeichen"/>
          <w:rFonts w:asciiTheme="minorHAnsi" w:hAnsiTheme="minorHAnsi" w:cstheme="minorHAnsi"/>
          <w:bCs/>
          <w:sz w:val="22"/>
          <w:szCs w:val="22"/>
        </w:rPr>
        <w:footnoteReference w:id="1"/>
      </w:r>
      <w:r w:rsidRPr="00D9669A">
        <w:rPr>
          <w:rFonts w:asciiTheme="minorHAnsi" w:hAnsiTheme="minorHAnsi" w:cstheme="minorHAnsi"/>
          <w:bCs/>
          <w:sz w:val="22"/>
          <w:szCs w:val="22"/>
        </w:rPr>
        <w:t>:</w:t>
      </w:r>
    </w:p>
    <w:p w14:paraId="77720DF1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Kontaktdaten:</w:t>
      </w:r>
    </w:p>
    <w:p w14:paraId="6D8DCB10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B41008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Herrn/Frau/Firma</w:t>
      </w:r>
    </w:p>
    <w:p w14:paraId="5DD80069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Adresse</w:t>
      </w:r>
    </w:p>
    <w:p w14:paraId="42949F93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rPr>
          <w:rFonts w:asciiTheme="minorHAnsi" w:hAnsiTheme="minorHAnsi" w:cstheme="minorHAnsi"/>
          <w:sz w:val="22"/>
          <w:szCs w:val="22"/>
        </w:rPr>
      </w:pPr>
    </w:p>
    <w:p w14:paraId="5ABAA5AA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724DBD" w14:textId="77777777" w:rsidR="005B3600" w:rsidRPr="005B3600" w:rsidRDefault="005B3600" w:rsidP="005B3600">
      <w:pPr>
        <w:pStyle w:val="KeinLeerraum"/>
        <w:tabs>
          <w:tab w:val="left" w:pos="666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Wasserversorgungsanlage der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D1D237A" w14:textId="77777777" w:rsidR="005B3600" w:rsidRDefault="005B3600" w:rsidP="005B3600">
      <w:pPr>
        <w:pStyle w:val="KeinLeerraum"/>
        <w:tabs>
          <w:tab w:val="left" w:pos="6521"/>
          <w:tab w:val="left" w:pos="666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B3600">
        <w:rPr>
          <w:rFonts w:asciiTheme="minorHAnsi" w:hAnsiTheme="minorHAnsi" w:cstheme="minorHAnsi"/>
          <w:b/>
          <w:bCs/>
          <w:sz w:val="22"/>
          <w:szCs w:val="22"/>
        </w:rPr>
        <w:t>Gemeinde</w:t>
      </w:r>
      <w:r w:rsidR="00AC7AC7">
        <w:rPr>
          <w:rStyle w:val="Funotenzeichen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7AC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…..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1E6D4A9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Abschluss des Ermittlungsverfahrens – </w:t>
      </w:r>
    </w:p>
    <w:p w14:paraId="3F795354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Anschlusspflicht </w:t>
      </w:r>
    </w:p>
    <w:p w14:paraId="2C7E81C7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</w:p>
    <w:p w14:paraId="0C4574FB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571CF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C0DFB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Der Gemeinderat der Gemeinde</w:t>
      </w:r>
      <w:r w:rsidR="00AC7AC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AC7AC7"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67FF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hat mit Verordnung vom</w:t>
      </w:r>
      <w:r w:rsidRPr="001B67FF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>
        <w:rPr>
          <w:rFonts w:asciiTheme="minorHAnsi" w:hAnsiTheme="minorHAnsi" w:cstheme="minorHAnsi"/>
          <w:sz w:val="22"/>
          <w:szCs w:val="22"/>
        </w:rPr>
        <w:t xml:space="preserve"> Zahl </w:t>
      </w:r>
      <w:r w:rsidRPr="001B67FF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>
        <w:rPr>
          <w:rFonts w:asciiTheme="minorHAnsi" w:hAnsiTheme="minorHAnsi" w:cstheme="minorHAnsi"/>
          <w:sz w:val="22"/>
          <w:szCs w:val="22"/>
        </w:rPr>
        <w:t>, jenes Gebiet festgelegt, zu dessen Versorgung die Gemeindewasserversorgungsanlage der Markt/Stadt/Gemeinde</w:t>
      </w:r>
      <w:r w:rsidRPr="001B67FF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>
        <w:rPr>
          <w:rFonts w:asciiTheme="minorHAnsi" w:hAnsiTheme="minorHAnsi" w:cstheme="minorHAnsi"/>
          <w:sz w:val="22"/>
          <w:szCs w:val="22"/>
        </w:rPr>
        <w:t xml:space="preserve"> bestimmt ist (Versorgungsbereich). </w:t>
      </w:r>
    </w:p>
    <w:p w14:paraId="0E8132B9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0D83A333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Das in ihrem Eigentum befindliche Grundstück </w:t>
      </w:r>
    </w:p>
    <w:p w14:paraId="0E1893A7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5FE52304" w14:textId="77777777" w:rsidR="005B3600" w:rsidRPr="005B3600" w:rsidRDefault="005B3600" w:rsidP="005B3600">
      <w:pPr>
        <w:pStyle w:val="KeinLeerraum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B3600">
        <w:rPr>
          <w:rFonts w:asciiTheme="minorHAnsi" w:hAnsiTheme="minorHAnsi" w:cstheme="minorHAnsi"/>
          <w:b/>
          <w:bCs/>
          <w:sz w:val="22"/>
          <w:szCs w:val="22"/>
        </w:rPr>
        <w:t>Parz.Nr</w:t>
      </w:r>
      <w:proofErr w:type="spellEnd"/>
      <w:r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AC7AC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r w:rsidRPr="005B3600">
        <w:rPr>
          <w:rFonts w:asciiTheme="minorHAnsi" w:hAnsiTheme="minorHAnsi" w:cstheme="minorHAnsi"/>
          <w:b/>
          <w:bCs/>
          <w:sz w:val="22"/>
          <w:szCs w:val="22"/>
        </w:rPr>
        <w:t>, EZ.:</w:t>
      </w:r>
      <w:r w:rsidRPr="00AC7AC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r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747D36E1" w14:textId="77777777" w:rsidR="005B3600" w:rsidRPr="005B3600" w:rsidRDefault="005B3600" w:rsidP="005B3600">
      <w:pPr>
        <w:pStyle w:val="KeinLeerraum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600">
        <w:rPr>
          <w:rFonts w:asciiTheme="minorHAnsi" w:hAnsiTheme="minorHAnsi" w:cstheme="minorHAnsi"/>
          <w:b/>
          <w:bCs/>
          <w:sz w:val="22"/>
          <w:szCs w:val="22"/>
        </w:rPr>
        <w:t>GB:</w:t>
      </w:r>
      <w:r w:rsidRPr="00AC7AC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</w:t>
      </w:r>
      <w:r w:rsidRPr="005B3600">
        <w:rPr>
          <w:rFonts w:asciiTheme="minorHAnsi" w:hAnsiTheme="minorHAnsi" w:cstheme="minorHAnsi"/>
          <w:b/>
          <w:bCs/>
          <w:sz w:val="22"/>
          <w:szCs w:val="22"/>
        </w:rPr>
        <w:t xml:space="preserve">, in </w:t>
      </w:r>
      <w:r w:rsidRPr="00AC7AC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…………….</w:t>
      </w:r>
    </w:p>
    <w:p w14:paraId="02AF3B32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177E9E8B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liegt im Versorgungsbereich der Gemeindewasserversorgungsanlage. </w:t>
      </w:r>
    </w:p>
    <w:p w14:paraId="6F9508DF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438243B4" w14:textId="3FC93026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Gemäß § 6 des </w:t>
      </w:r>
      <w:r w:rsidRPr="005B3600">
        <w:rPr>
          <w:rFonts w:asciiTheme="minorHAnsi" w:hAnsiTheme="minorHAnsi" w:cstheme="minorHAnsi"/>
          <w:sz w:val="22"/>
          <w:szCs w:val="22"/>
        </w:rPr>
        <w:t>Kärntner Gemeindewasserversorgungsgesetzes</w:t>
      </w:r>
      <w:r w:rsidR="002F3770">
        <w:rPr>
          <w:rFonts w:asciiTheme="minorHAnsi" w:hAnsiTheme="minorHAnsi" w:cstheme="minorHAnsi"/>
          <w:sz w:val="22"/>
          <w:szCs w:val="22"/>
        </w:rPr>
        <w:t xml:space="preserve"> –</w:t>
      </w:r>
      <w:r w:rsidRPr="005B3600">
        <w:rPr>
          <w:rFonts w:asciiTheme="minorHAnsi" w:hAnsiTheme="minorHAnsi" w:cstheme="minorHAnsi"/>
          <w:sz w:val="22"/>
          <w:szCs w:val="22"/>
        </w:rPr>
        <w:t xml:space="preserve"> K-GWVG, LGBl. Nr. 107/1997 </w:t>
      </w:r>
      <w:r w:rsidR="002F3770">
        <w:rPr>
          <w:rFonts w:asciiTheme="minorHAnsi" w:hAnsiTheme="minorHAnsi" w:cstheme="minorHAnsi"/>
          <w:sz w:val="22"/>
          <w:szCs w:val="22"/>
        </w:rPr>
        <w:t xml:space="preserve">zuletzt </w:t>
      </w:r>
      <w:r w:rsidR="00540357">
        <w:rPr>
          <w:rFonts w:asciiTheme="minorHAnsi" w:hAnsiTheme="minorHAnsi" w:cstheme="minorHAnsi"/>
          <w:sz w:val="22"/>
          <w:szCs w:val="22"/>
        </w:rPr>
        <w:t xml:space="preserve">in der Fassung des Gesetzes </w:t>
      </w:r>
      <w:r w:rsidRPr="005B3600">
        <w:rPr>
          <w:rFonts w:asciiTheme="minorHAnsi" w:hAnsiTheme="minorHAnsi" w:cstheme="minorHAnsi"/>
          <w:sz w:val="22"/>
          <w:szCs w:val="22"/>
        </w:rPr>
        <w:t xml:space="preserve">LGBl Nr. </w:t>
      </w:r>
      <w:r w:rsidR="001D55CB" w:rsidRPr="001D55CB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1D55CB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5B3600">
        <w:rPr>
          <w:rFonts w:asciiTheme="minorHAnsi" w:hAnsiTheme="minorHAnsi" w:cstheme="minorHAnsi"/>
          <w:sz w:val="22"/>
          <w:szCs w:val="22"/>
        </w:rPr>
        <w:t>20</w:t>
      </w:r>
      <w:r w:rsidR="001D55CB" w:rsidRPr="001D55CB">
        <w:rPr>
          <w:rFonts w:asciiTheme="minorHAnsi" w:hAnsiTheme="minorHAnsi" w:cstheme="minorHAnsi"/>
          <w:sz w:val="22"/>
          <w:szCs w:val="22"/>
          <w:highlight w:val="yellow"/>
        </w:rPr>
        <w:t>..</w:t>
      </w:r>
      <w:r w:rsidRPr="005B3600">
        <w:rPr>
          <w:rFonts w:asciiTheme="minorHAnsi" w:hAnsiTheme="minorHAnsi" w:cstheme="minorHAnsi"/>
          <w:sz w:val="22"/>
          <w:szCs w:val="22"/>
        </w:rPr>
        <w:t xml:space="preserve"> sind die Eigentümer der im Versorgungsbereich gelegenen Grundstücke, die bebaut oder sonst mit Wasser zu versorgen sind oder für die eine Baubewilligung erteilt wurde, verpflichtet, diese an die Gemeindewasserversorgungsanlage der </w:t>
      </w:r>
      <w:r>
        <w:rPr>
          <w:rFonts w:asciiTheme="minorHAnsi" w:hAnsiTheme="minorHAnsi" w:cstheme="minorHAnsi"/>
          <w:sz w:val="22"/>
          <w:szCs w:val="22"/>
        </w:rPr>
        <w:t>Gemeinde</w:t>
      </w:r>
      <w:r w:rsidR="00AC7AC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C7AC7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5B3600">
        <w:rPr>
          <w:rFonts w:asciiTheme="minorHAnsi" w:hAnsiTheme="minorHAnsi" w:cstheme="minorHAnsi"/>
          <w:sz w:val="22"/>
          <w:szCs w:val="22"/>
        </w:rPr>
        <w:t xml:space="preserve">  anzuschließen und ihren Bedarf an Trink- und Nutzwasser aus der Gemeindewasserversorgungsanlage zu decken.</w:t>
      </w:r>
    </w:p>
    <w:p w14:paraId="776C316B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0CB0DEB2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 xml:space="preserve">Gemäß § 8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B3600">
        <w:rPr>
          <w:rFonts w:asciiTheme="minorHAnsi" w:hAnsiTheme="minorHAnsi" w:cstheme="minorHAnsi"/>
          <w:sz w:val="22"/>
          <w:szCs w:val="22"/>
        </w:rPr>
        <w:t>-GWVG sind unter nachfolgend angeführten Voraussetzungen gesetzliche Ausnahmen von der Anschlusspflicht gegeben und darf ein Anschlussauftrag nicht erteilt werden:</w:t>
      </w:r>
    </w:p>
    <w:p w14:paraId="785BF9D9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7B8CF9F5" w14:textId="77777777" w:rsidR="005B3600" w:rsidRPr="005B3600" w:rsidRDefault="005B3600" w:rsidP="001D55CB">
      <w:pPr>
        <w:pStyle w:val="KeinLeerraum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(1)</w:t>
      </w:r>
      <w:r w:rsidRPr="005B3600">
        <w:rPr>
          <w:rFonts w:asciiTheme="minorHAnsi" w:hAnsiTheme="minorHAnsi" w:cstheme="minorHAnsi"/>
          <w:sz w:val="22"/>
          <w:szCs w:val="22"/>
        </w:rPr>
        <w:tab/>
        <w:t>Von der Anschluss- und Benützungspflicht sind Eigentümer von Grundstücken ausgenommen, die über eine den Erfordernissen der Gesundheit entsprechende Wasserversorgungsanlage verfügen, durch die Trink- und Nutzwasser in hinreichender Menge zur Verfügung steht.</w:t>
      </w:r>
    </w:p>
    <w:p w14:paraId="6A5E1D38" w14:textId="77777777" w:rsidR="005B3600" w:rsidRPr="001B67FF" w:rsidRDefault="005B3600" w:rsidP="001D55CB">
      <w:pPr>
        <w:pStyle w:val="KeinLeerraum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(2)</w:t>
      </w:r>
      <w:r w:rsidRPr="005B3600">
        <w:rPr>
          <w:rFonts w:asciiTheme="minorHAnsi" w:hAnsiTheme="minorHAnsi" w:cstheme="minorHAnsi"/>
          <w:sz w:val="22"/>
          <w:szCs w:val="22"/>
        </w:rPr>
        <w:tab/>
        <w:t>Von der Anschluss- und Benützungspflicht sind auch Eigentümer solcher Grundstücke oder Bauwerke ausgenommen, bei denen die Kosten der Herstellung eines Anschlusses diejenigen</w:t>
      </w:r>
      <w:r w:rsidR="001B67FF">
        <w:rPr>
          <w:rFonts w:asciiTheme="minorHAnsi" w:hAnsiTheme="minorHAnsi" w:cstheme="minorHAnsi"/>
          <w:sz w:val="22"/>
          <w:szCs w:val="22"/>
        </w:rPr>
        <w:t xml:space="preserve"> </w:t>
      </w:r>
      <w:r w:rsidRPr="005B3600">
        <w:rPr>
          <w:rFonts w:asciiTheme="minorHAnsi" w:hAnsiTheme="minorHAnsi" w:cstheme="minorHAnsi"/>
          <w:sz w:val="22"/>
          <w:szCs w:val="22"/>
        </w:rPr>
        <w:t>eines vergleichbaren, dem örtlichen Durchschnitt entsprechenden Anschlusses um 50 v. H. übersteigen.</w:t>
      </w:r>
    </w:p>
    <w:p w14:paraId="3793D8DE" w14:textId="77777777" w:rsidR="005B3600" w:rsidRPr="001B67FF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1B67FF">
        <w:rPr>
          <w:rFonts w:asciiTheme="minorHAnsi" w:hAnsiTheme="minorHAnsi" w:cstheme="minorHAnsi"/>
          <w:sz w:val="22"/>
          <w:szCs w:val="22"/>
        </w:rPr>
        <w:lastRenderedPageBreak/>
        <w:t>(3)</w:t>
      </w:r>
      <w:r w:rsidRPr="001B67FF">
        <w:rPr>
          <w:rFonts w:asciiTheme="minorHAnsi" w:hAnsiTheme="minorHAnsi" w:cstheme="minorHAnsi"/>
          <w:sz w:val="22"/>
          <w:szCs w:val="22"/>
        </w:rPr>
        <w:tab/>
        <w:t>Von der Anschluss- und Benützungspflicht sind ferner</w:t>
      </w:r>
    </w:p>
    <w:p w14:paraId="3DF3893A" w14:textId="77777777" w:rsidR="005B3600" w:rsidRPr="001B67FF" w:rsidRDefault="005B3600" w:rsidP="001D55CB">
      <w:pPr>
        <w:pStyle w:val="KeinLeerraum"/>
        <w:ind w:firstLine="708"/>
        <w:rPr>
          <w:rFonts w:asciiTheme="minorHAnsi" w:hAnsiTheme="minorHAnsi" w:cstheme="minorHAnsi"/>
          <w:sz w:val="22"/>
          <w:szCs w:val="22"/>
        </w:rPr>
      </w:pPr>
      <w:r w:rsidRPr="001B67FF">
        <w:rPr>
          <w:rFonts w:asciiTheme="minorHAnsi" w:hAnsiTheme="minorHAnsi" w:cstheme="minorHAnsi"/>
          <w:sz w:val="22"/>
          <w:szCs w:val="22"/>
        </w:rPr>
        <w:t>a)</w:t>
      </w:r>
      <w:r w:rsidRPr="001B67FF">
        <w:rPr>
          <w:rFonts w:asciiTheme="minorHAnsi" w:hAnsiTheme="minorHAnsi" w:cstheme="minorHAnsi"/>
          <w:sz w:val="22"/>
          <w:szCs w:val="22"/>
        </w:rPr>
        <w:tab/>
        <w:t>Eigentümer industrieller oder sonstiger gewerblicher Anlagen,</w:t>
      </w:r>
    </w:p>
    <w:p w14:paraId="42E441F9" w14:textId="77777777" w:rsidR="005B3600" w:rsidRPr="001B67FF" w:rsidRDefault="005B3600" w:rsidP="001D55CB">
      <w:pPr>
        <w:pStyle w:val="KeinLeerraum"/>
        <w:ind w:firstLine="708"/>
        <w:rPr>
          <w:rFonts w:asciiTheme="minorHAnsi" w:hAnsiTheme="minorHAnsi" w:cstheme="minorHAnsi"/>
          <w:sz w:val="22"/>
          <w:szCs w:val="22"/>
        </w:rPr>
      </w:pPr>
      <w:r w:rsidRPr="001B67FF">
        <w:rPr>
          <w:rFonts w:asciiTheme="minorHAnsi" w:hAnsiTheme="minorHAnsi" w:cstheme="minorHAnsi"/>
          <w:sz w:val="22"/>
          <w:szCs w:val="22"/>
        </w:rPr>
        <w:t>b)</w:t>
      </w:r>
      <w:r w:rsidRPr="001B67FF">
        <w:rPr>
          <w:rFonts w:asciiTheme="minorHAnsi" w:hAnsiTheme="minorHAnsi" w:cstheme="minorHAnsi"/>
          <w:sz w:val="22"/>
          <w:szCs w:val="22"/>
        </w:rPr>
        <w:tab/>
        <w:t xml:space="preserve">Eigentümer von Feldberegnungs- und </w:t>
      </w:r>
      <w:proofErr w:type="spellStart"/>
      <w:r w:rsidRPr="001B67FF">
        <w:rPr>
          <w:rFonts w:asciiTheme="minorHAnsi" w:hAnsiTheme="minorHAnsi" w:cstheme="minorHAnsi"/>
          <w:sz w:val="22"/>
          <w:szCs w:val="22"/>
        </w:rPr>
        <w:t>Begüllungsanlagen</w:t>
      </w:r>
      <w:proofErr w:type="spellEnd"/>
      <w:r w:rsidRPr="001B67FF">
        <w:rPr>
          <w:rFonts w:asciiTheme="minorHAnsi" w:hAnsiTheme="minorHAnsi" w:cstheme="minorHAnsi"/>
          <w:sz w:val="22"/>
          <w:szCs w:val="22"/>
        </w:rPr>
        <w:t xml:space="preserve"> sowie</w:t>
      </w:r>
    </w:p>
    <w:p w14:paraId="49C3C75F" w14:textId="77777777" w:rsidR="005B3600" w:rsidRPr="001B67FF" w:rsidRDefault="005B3600" w:rsidP="001D55CB">
      <w:pPr>
        <w:pStyle w:val="KeinLeerraum"/>
        <w:ind w:left="1416" w:hanging="708"/>
        <w:rPr>
          <w:rFonts w:asciiTheme="minorHAnsi" w:hAnsiTheme="minorHAnsi" w:cstheme="minorHAnsi"/>
          <w:sz w:val="22"/>
          <w:szCs w:val="22"/>
        </w:rPr>
      </w:pPr>
      <w:r w:rsidRPr="001B67FF">
        <w:rPr>
          <w:rFonts w:asciiTheme="minorHAnsi" w:hAnsiTheme="minorHAnsi" w:cstheme="minorHAnsi"/>
          <w:sz w:val="22"/>
          <w:szCs w:val="22"/>
        </w:rPr>
        <w:t>c)</w:t>
      </w:r>
      <w:r w:rsidRPr="001B67FF">
        <w:rPr>
          <w:rFonts w:asciiTheme="minorHAnsi" w:hAnsiTheme="minorHAnsi" w:cstheme="minorHAnsi"/>
          <w:sz w:val="22"/>
          <w:szCs w:val="22"/>
        </w:rPr>
        <w:tab/>
        <w:t>öffentliche Anstalten einer Gebietskörperschaft hinsichtlich des Nutzwasserbezuges insoweit ausgenommen, als ein Anschluss nicht aus gesundheitlichen Gründen erforderlich ist.</w:t>
      </w:r>
    </w:p>
    <w:p w14:paraId="76C46026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66A98D6F" w14:textId="77777777" w:rsidR="005B3600" w:rsidRDefault="005B3600" w:rsidP="001D55CB">
      <w:pPr>
        <w:pStyle w:val="KeinLeerraum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(4)</w:t>
      </w:r>
      <w:r w:rsidRPr="005B3600">
        <w:rPr>
          <w:rFonts w:asciiTheme="minorHAnsi" w:hAnsiTheme="minorHAnsi" w:cstheme="minorHAnsi"/>
          <w:sz w:val="22"/>
          <w:szCs w:val="22"/>
        </w:rPr>
        <w:tab/>
        <w:t>Von der Anschluss- und Benützungspflicht sind weiters Eigentümer von Grundstücken oder Bauwerken ausgenommen, deren Anschluss an eine Gemeindewasserversorgungsanlage aus rechtlichen Gründen nicht möglich ist.</w:t>
      </w:r>
    </w:p>
    <w:p w14:paraId="11A3D071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54802EDB" w14:textId="62BC0E03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Da bei Ihrem Grundstück die Voraussetzungen für eine Anschlusspflicht an die Gemeindewasserversorgungsanlage zutreffen und eine Ausnahme nicht besteht, ist  beabsichtigt, gemäß § 6 Abs. 2 des K-GWVG die Anschluss- und Benützungspflicht bescheidmäßig auszusprechen.</w:t>
      </w:r>
    </w:p>
    <w:p w14:paraId="54925D0D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0E089F3B" w14:textId="33DC56E5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 xml:space="preserve">In Wahrung des Parteiengehörs wird Ihnen gem. § 37 des Allgemeinen Verwaltungsverfahrensgesetzes 1991 – AVG, BGBl. Nr. 51/1991, </w:t>
      </w:r>
      <w:r w:rsidR="002F3770">
        <w:rPr>
          <w:rFonts w:asciiTheme="minorHAnsi" w:hAnsiTheme="minorHAnsi" w:cstheme="minorHAnsi"/>
          <w:sz w:val="22"/>
          <w:szCs w:val="22"/>
        </w:rPr>
        <w:t xml:space="preserve">zuletzt </w:t>
      </w:r>
      <w:r w:rsidR="00540357">
        <w:rPr>
          <w:rFonts w:asciiTheme="minorHAnsi" w:hAnsiTheme="minorHAnsi" w:cstheme="minorHAnsi"/>
          <w:sz w:val="22"/>
          <w:szCs w:val="22"/>
        </w:rPr>
        <w:t>in der Fassung des Gesetzes</w:t>
      </w:r>
      <w:r w:rsidRPr="005B3600">
        <w:rPr>
          <w:rFonts w:asciiTheme="minorHAnsi" w:hAnsiTheme="minorHAnsi" w:cstheme="minorHAnsi"/>
          <w:sz w:val="22"/>
          <w:szCs w:val="22"/>
        </w:rPr>
        <w:t xml:space="preserve"> BGBl I Nr. </w:t>
      </w:r>
      <w:r w:rsidR="001D55CB" w:rsidRPr="001D55CB">
        <w:rPr>
          <w:rFonts w:asciiTheme="minorHAnsi" w:hAnsiTheme="minorHAnsi" w:cstheme="minorHAnsi"/>
          <w:sz w:val="22"/>
          <w:szCs w:val="22"/>
          <w:highlight w:val="yellow"/>
        </w:rPr>
        <w:t>..</w:t>
      </w:r>
      <w:r w:rsidRPr="001D55CB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5B3600">
        <w:rPr>
          <w:rFonts w:asciiTheme="minorHAnsi" w:hAnsiTheme="minorHAnsi" w:cstheme="minorHAnsi"/>
          <w:sz w:val="22"/>
          <w:szCs w:val="22"/>
        </w:rPr>
        <w:t>20</w:t>
      </w:r>
      <w:r w:rsidR="001D55CB" w:rsidRPr="001D55CB">
        <w:rPr>
          <w:rFonts w:asciiTheme="minorHAnsi" w:hAnsiTheme="minorHAnsi" w:cstheme="minorHAnsi"/>
          <w:sz w:val="22"/>
          <w:szCs w:val="22"/>
          <w:highlight w:val="yellow"/>
        </w:rPr>
        <w:t>..</w:t>
      </w:r>
      <w:r w:rsidR="002F3770">
        <w:rPr>
          <w:rFonts w:asciiTheme="minorHAnsi" w:hAnsiTheme="minorHAnsi" w:cstheme="minorHAnsi"/>
          <w:sz w:val="22"/>
          <w:szCs w:val="22"/>
        </w:rPr>
        <w:t>,</w:t>
      </w:r>
      <w:r w:rsidRPr="005B3600">
        <w:rPr>
          <w:rFonts w:asciiTheme="minorHAnsi" w:hAnsiTheme="minorHAnsi" w:cstheme="minorHAnsi"/>
          <w:sz w:val="22"/>
          <w:szCs w:val="22"/>
        </w:rPr>
        <w:t xml:space="preserve"> die Gelegenheit gegeben, </w:t>
      </w:r>
      <w:r>
        <w:rPr>
          <w:rFonts w:asciiTheme="minorHAnsi" w:hAnsiTheme="minorHAnsi" w:cstheme="minorHAnsi"/>
          <w:sz w:val="22"/>
          <w:szCs w:val="22"/>
        </w:rPr>
        <w:t>zu</w:t>
      </w:r>
      <w:r w:rsidRPr="005B3600">
        <w:rPr>
          <w:rFonts w:asciiTheme="minorHAnsi" w:hAnsiTheme="minorHAnsi" w:cstheme="minorHAnsi"/>
          <w:sz w:val="22"/>
          <w:szCs w:val="22"/>
        </w:rPr>
        <w:t xml:space="preserve"> dieser Anschlusspflicht, innerhalb von 2 Wochen vom Tage der Zustellung an, eine Stellungnahme abzugeben.</w:t>
      </w:r>
    </w:p>
    <w:p w14:paraId="7BD1564C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28E8A6D5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 xml:space="preserve">Etwaige Einwendungen sind schriftlich oder telegrafisch beim </w:t>
      </w:r>
      <w:proofErr w:type="spellStart"/>
      <w:r>
        <w:rPr>
          <w:rFonts w:asciiTheme="minorHAnsi" w:hAnsiTheme="minorHAnsi" w:cstheme="minorHAnsi"/>
          <w:sz w:val="22"/>
          <w:szCs w:val="22"/>
        </w:rPr>
        <w:t>Gemeindamt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der Gemeinde</w:t>
      </w:r>
      <w:r w:rsidR="00AC7AC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AC7AC7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Pr="005B3600">
        <w:rPr>
          <w:rFonts w:asciiTheme="minorHAnsi" w:hAnsiTheme="minorHAnsi" w:cstheme="minorHAnsi"/>
          <w:sz w:val="22"/>
          <w:szCs w:val="22"/>
        </w:rPr>
        <w:t xml:space="preserve">  einzubringen (Telefax Nr. </w:t>
      </w:r>
      <w:r w:rsidRPr="00AC7AC7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 w:rsidRPr="005B3600">
        <w:rPr>
          <w:rFonts w:asciiTheme="minorHAnsi" w:hAnsiTheme="minorHAnsi" w:cstheme="minorHAnsi"/>
          <w:sz w:val="22"/>
          <w:szCs w:val="22"/>
        </w:rPr>
        <w:t xml:space="preserve"> - während der Amtszeit).</w:t>
      </w:r>
    </w:p>
    <w:p w14:paraId="005511B9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040C2607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Die mit jeder Übermittlungsart verbundenen Risiken trägt der Absender (z.B. Übermittlungsfehler, Verlust des Schriftstückes usw.).</w:t>
      </w:r>
    </w:p>
    <w:p w14:paraId="611B9B34" w14:textId="77777777" w:rsid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7B1E10B9" w14:textId="77777777" w:rsidR="00AC7AC7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B748C8E" w14:textId="77777777" w:rsidR="00AC7AC7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51410D75" w14:textId="77777777" w:rsidR="00AC7AC7" w:rsidRPr="005B3600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7AE3498" w14:textId="77777777" w:rsidR="005B3600" w:rsidRDefault="009C009C" w:rsidP="009C009C">
      <w:pPr>
        <w:pStyle w:val="KeinLeerraum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Der</w:t>
      </w:r>
      <w:r w:rsidR="005B3600" w:rsidRPr="005B3600">
        <w:rPr>
          <w:rFonts w:asciiTheme="minorHAnsi" w:hAnsiTheme="minorHAnsi" w:cstheme="minorHAnsi"/>
          <w:sz w:val="22"/>
          <w:szCs w:val="22"/>
        </w:rPr>
        <w:t xml:space="preserve"> Bürgermeister</w:t>
      </w:r>
      <w:r w:rsidR="00801539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5B3600" w:rsidRPr="005B3600">
        <w:rPr>
          <w:rFonts w:asciiTheme="minorHAnsi" w:hAnsiTheme="minorHAnsi" w:cstheme="minorHAnsi"/>
          <w:sz w:val="22"/>
          <w:szCs w:val="22"/>
        </w:rPr>
        <w:t>:</w:t>
      </w:r>
    </w:p>
    <w:p w14:paraId="01248510" w14:textId="77777777" w:rsidR="00AC7AC7" w:rsidRDefault="00AC7AC7" w:rsidP="00AC7AC7">
      <w:pPr>
        <w:pStyle w:val="KeinLeerraum"/>
        <w:jc w:val="center"/>
        <w:rPr>
          <w:rFonts w:asciiTheme="minorHAnsi" w:hAnsiTheme="minorHAnsi" w:cstheme="minorHAnsi"/>
          <w:sz w:val="22"/>
          <w:szCs w:val="22"/>
        </w:rPr>
      </w:pPr>
    </w:p>
    <w:p w14:paraId="7111621E" w14:textId="77777777" w:rsid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2EE18A7" w14:textId="77777777" w:rsidR="00AC7AC7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3349882" w14:textId="77777777" w:rsidR="00AC7AC7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53CB84E6" w14:textId="77777777" w:rsidR="00AC7AC7" w:rsidRPr="005B3600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1B644F2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Ergeht gleichlautend an:</w:t>
      </w:r>
    </w:p>
    <w:p w14:paraId="087FC625" w14:textId="77777777" w:rsidR="005B3600" w:rsidRPr="005B3600" w:rsidRDefault="00AC7AC7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C7AC7">
        <w:rPr>
          <w:rFonts w:asciiTheme="minorHAnsi" w:hAnsiTheme="minorHAnsi" w:cstheme="minorHAnsi"/>
          <w:sz w:val="22"/>
          <w:szCs w:val="22"/>
          <w:highlight w:val="yellow"/>
        </w:rPr>
        <w:t>………..</w:t>
      </w:r>
    </w:p>
    <w:p w14:paraId="28E11ED5" w14:textId="77777777" w:rsidR="005B3600" w:rsidRPr="005B3600" w:rsidRDefault="005B3600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5B3600">
        <w:rPr>
          <w:rFonts w:asciiTheme="minorHAnsi" w:hAnsiTheme="minorHAnsi" w:cstheme="minorHAnsi"/>
          <w:sz w:val="22"/>
          <w:szCs w:val="22"/>
        </w:rPr>
        <w:t>zum Akt (Wasser)</w:t>
      </w:r>
    </w:p>
    <w:p w14:paraId="5F689D5B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4B698CF1" w14:textId="77777777" w:rsid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2B50CE12" w14:textId="77777777" w:rsidR="005B3600" w:rsidRPr="005B3600" w:rsidRDefault="005B3600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55FE5E2E" w14:textId="77777777" w:rsidR="005B3600" w:rsidRP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</w:p>
    <w:p w14:paraId="1A6FFC28" w14:textId="77777777" w:rsidR="00F749D9" w:rsidRPr="0047266F" w:rsidRDefault="00F749D9">
      <w:pPr>
        <w:spacing w:after="120"/>
        <w:jc w:val="both"/>
        <w:rPr>
          <w:rFonts w:ascii="Calibri" w:hAnsi="Calibri"/>
          <w:sz w:val="24"/>
        </w:rPr>
      </w:pPr>
    </w:p>
    <w:p w14:paraId="55293E28" w14:textId="77777777" w:rsidR="00F749D9" w:rsidRPr="0047266F" w:rsidRDefault="00F749D9">
      <w:pPr>
        <w:spacing w:after="120"/>
        <w:jc w:val="both"/>
        <w:rPr>
          <w:rFonts w:ascii="Calibri" w:hAnsi="Calibri"/>
          <w:sz w:val="24"/>
        </w:rPr>
      </w:pPr>
    </w:p>
    <w:p w14:paraId="2A426424" w14:textId="77777777" w:rsidR="00F749D9" w:rsidRPr="0047266F" w:rsidRDefault="00F749D9" w:rsidP="00750F26">
      <w:pPr>
        <w:spacing w:after="120"/>
        <w:rPr>
          <w:rFonts w:ascii="Calibri" w:hAnsi="Calibri"/>
          <w:sz w:val="16"/>
          <w:szCs w:val="16"/>
        </w:rPr>
      </w:pPr>
    </w:p>
    <w:sectPr w:rsidR="00F749D9" w:rsidRPr="0047266F">
      <w:headerReference w:type="default" r:id="rId8"/>
      <w:headerReference w:type="first" r:id="rId9"/>
      <w:pgSz w:w="11907" w:h="16840"/>
      <w:pgMar w:top="1021" w:right="1418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169F" w14:textId="77777777" w:rsidR="0057455D" w:rsidRDefault="0057455D">
      <w:r>
        <w:separator/>
      </w:r>
    </w:p>
  </w:endnote>
  <w:endnote w:type="continuationSeparator" w:id="0">
    <w:p w14:paraId="4A048F7B" w14:textId="77777777" w:rsidR="0057455D" w:rsidRDefault="0057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8A3A" w14:textId="77777777" w:rsidR="0057455D" w:rsidRDefault="0057455D">
      <w:r>
        <w:separator/>
      </w:r>
    </w:p>
  </w:footnote>
  <w:footnote w:type="continuationSeparator" w:id="0">
    <w:p w14:paraId="3D746B12" w14:textId="77777777" w:rsidR="0057455D" w:rsidRDefault="0057455D">
      <w:r>
        <w:continuationSeparator/>
      </w:r>
    </w:p>
  </w:footnote>
  <w:footnote w:id="1">
    <w:p w14:paraId="53B8679F" w14:textId="77777777" w:rsidR="00801539" w:rsidRPr="00801539" w:rsidRDefault="00801539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801539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801539">
        <w:rPr>
          <w:rFonts w:asciiTheme="minorHAnsi" w:hAnsiTheme="minorHAnsi" w:cstheme="minorHAnsi"/>
          <w:sz w:val="16"/>
          <w:szCs w:val="16"/>
        </w:rPr>
        <w:t xml:space="preserve"> Aus Gründen der Lesbarkeit wird auf die Verwendung geschlechtsspezifischer  Formulierungen verzichtet. Soweit personenbezogene Bezeichnungen nur in männlicher Form angeführt sind, beziehen sie sich auf Männer und Frauen in gleicher Weise.</w:t>
      </w:r>
    </w:p>
  </w:footnote>
  <w:footnote w:id="2">
    <w:p w14:paraId="646C1C58" w14:textId="77777777" w:rsidR="00AC7AC7" w:rsidRPr="00AC7AC7" w:rsidRDefault="00AC7AC7">
      <w:pPr>
        <w:pStyle w:val="Funotentext"/>
        <w:rPr>
          <w:rFonts w:asciiTheme="minorHAnsi" w:hAnsiTheme="minorHAnsi" w:cstheme="minorHAnsi"/>
          <w:lang w:val="de-AT"/>
        </w:rPr>
      </w:pPr>
      <w:r w:rsidRPr="00801539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801539">
        <w:rPr>
          <w:rFonts w:asciiTheme="minorHAnsi" w:hAnsiTheme="minorHAnsi" w:cstheme="minorHAnsi"/>
          <w:sz w:val="16"/>
          <w:szCs w:val="16"/>
        </w:rPr>
        <w:t xml:space="preserve"> </w:t>
      </w:r>
      <w:r w:rsidRPr="00801539">
        <w:rPr>
          <w:rFonts w:asciiTheme="minorHAnsi" w:hAnsiTheme="minorHAnsi" w:cstheme="minorHAnsi"/>
          <w:sz w:val="16"/>
          <w:szCs w:val="16"/>
          <w:lang w:val="de-AT"/>
        </w:rPr>
        <w:t>Markt-/Stadtgemeinde</w:t>
      </w:r>
      <w:r w:rsidRPr="00AC7AC7">
        <w:rPr>
          <w:rFonts w:asciiTheme="minorHAnsi" w:hAnsiTheme="minorHAnsi" w:cstheme="minorHAnsi"/>
          <w:lang w:val="de-A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9493" w14:textId="77777777" w:rsidR="00F749D9" w:rsidRPr="006E204A" w:rsidRDefault="00F749D9">
    <w:pPr>
      <w:pStyle w:val="Kopfzeile"/>
      <w:framePr w:wrap="auto" w:vAnchor="text" w:hAnchor="margin" w:xAlign="center" w:y="1"/>
      <w:rPr>
        <w:rFonts w:asciiTheme="minorHAnsi" w:hAnsiTheme="minorHAnsi" w:cstheme="minorHAnsi"/>
      </w:rPr>
    </w:pPr>
    <w:r w:rsidRPr="006E204A">
      <w:rPr>
        <w:rFonts w:asciiTheme="minorHAnsi" w:hAnsiTheme="minorHAnsi" w:cstheme="minorHAnsi"/>
      </w:rPr>
      <w:fldChar w:fldCharType="begin"/>
    </w:r>
    <w:r w:rsidRPr="006E204A">
      <w:rPr>
        <w:rFonts w:asciiTheme="minorHAnsi" w:hAnsiTheme="minorHAnsi" w:cstheme="minorHAnsi"/>
      </w:rPr>
      <w:instrText xml:space="preserve">PAGE  </w:instrText>
    </w:r>
    <w:r w:rsidRPr="006E204A">
      <w:rPr>
        <w:rFonts w:asciiTheme="minorHAnsi" w:hAnsiTheme="minorHAnsi" w:cstheme="minorHAnsi"/>
      </w:rPr>
      <w:fldChar w:fldCharType="separate"/>
    </w:r>
    <w:r w:rsidR="0049682E" w:rsidRPr="006E204A">
      <w:rPr>
        <w:rFonts w:asciiTheme="minorHAnsi" w:hAnsiTheme="minorHAnsi" w:cstheme="minorHAnsi"/>
        <w:noProof/>
      </w:rPr>
      <w:t>2</w:t>
    </w:r>
    <w:r w:rsidRPr="006E204A">
      <w:rPr>
        <w:rFonts w:asciiTheme="minorHAnsi" w:hAnsiTheme="minorHAnsi" w:cstheme="minorHAnsi"/>
      </w:rPr>
      <w:fldChar w:fldCharType="end"/>
    </w:r>
  </w:p>
  <w:p w14:paraId="685EB26D" w14:textId="77777777" w:rsidR="00F749D9" w:rsidRDefault="00F74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951819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CDDD4F" w14:textId="77777777" w:rsidR="00D9631A" w:rsidRDefault="006E204A">
        <w:pPr>
          <w:pStyle w:val="Kopfzeile"/>
          <w:jc w:val="center"/>
          <w:rPr>
            <w:rFonts w:asciiTheme="minorHAnsi" w:hAnsiTheme="minorHAnsi" w:cstheme="minorHAnsi"/>
          </w:rPr>
        </w:pPr>
        <w:r w:rsidRPr="006E204A">
          <w:rPr>
            <w:rFonts w:asciiTheme="minorHAnsi" w:hAnsiTheme="minorHAnsi" w:cstheme="minorHAnsi"/>
          </w:rPr>
          <w:fldChar w:fldCharType="begin"/>
        </w:r>
        <w:r w:rsidRPr="006E204A">
          <w:rPr>
            <w:rFonts w:asciiTheme="minorHAnsi" w:hAnsiTheme="minorHAnsi" w:cstheme="minorHAnsi"/>
          </w:rPr>
          <w:instrText>PAGE   \* MERGEFORMAT</w:instrText>
        </w:r>
        <w:r w:rsidRPr="006E204A">
          <w:rPr>
            <w:rFonts w:asciiTheme="minorHAnsi" w:hAnsiTheme="minorHAnsi" w:cstheme="minorHAnsi"/>
          </w:rPr>
          <w:fldChar w:fldCharType="separate"/>
        </w:r>
        <w:r w:rsidRPr="006E204A">
          <w:rPr>
            <w:rFonts w:asciiTheme="minorHAnsi" w:hAnsiTheme="minorHAnsi" w:cstheme="minorHAnsi"/>
          </w:rPr>
          <w:t>2</w:t>
        </w:r>
        <w:r w:rsidRPr="006E204A">
          <w:rPr>
            <w:rFonts w:asciiTheme="minorHAnsi" w:hAnsiTheme="minorHAnsi" w:cstheme="minorHAnsi"/>
          </w:rPr>
          <w:fldChar w:fldCharType="end"/>
        </w:r>
      </w:p>
      <w:p w14:paraId="2FB00980" w14:textId="77777777" w:rsidR="00D9631A" w:rsidRDefault="001D55CB" w:rsidP="00D9631A">
        <w:pPr>
          <w:pStyle w:val="Kopfzeile"/>
          <w:pBdr>
            <w:bottom w:val="single" w:sz="4" w:space="1" w:color="auto"/>
          </w:pBdr>
          <w:rPr>
            <w:rFonts w:asciiTheme="minorHAnsi" w:hAnsiTheme="minorHAnsi" w:cstheme="minorHAnsi"/>
          </w:rPr>
        </w:pPr>
      </w:p>
    </w:sdtContent>
  </w:sdt>
  <w:p w14:paraId="0F693943" w14:textId="77777777" w:rsidR="00D9631A" w:rsidRPr="00856AFB" w:rsidRDefault="00D9631A" w:rsidP="00D9631A">
    <w:pPr>
      <w:pStyle w:val="Kopfzeile"/>
      <w:pBdr>
        <w:bottom w:val="single" w:sz="4" w:space="1" w:color="auto"/>
      </w:pBdr>
      <w:rPr>
        <w:rFonts w:ascii="Calibri" w:hAnsi="Calibri"/>
        <w:i/>
        <w:sz w:val="18"/>
        <w:lang w:val="de-AT"/>
      </w:rPr>
    </w:pPr>
    <w:r w:rsidRPr="00D9631A">
      <w:rPr>
        <w:rFonts w:ascii="Calibri" w:hAnsi="Calibri"/>
        <w:i/>
        <w:sz w:val="18"/>
        <w:lang w:val="de-AT"/>
      </w:rPr>
      <w:t xml:space="preserve"> </w:t>
    </w:r>
    <w:r w:rsidRPr="00856AFB">
      <w:rPr>
        <w:rFonts w:ascii="Calibri" w:hAnsi="Calibri"/>
        <w:i/>
        <w:sz w:val="18"/>
        <w:lang w:val="de-AT"/>
      </w:rPr>
      <w:t>Kärntner Gemeindebund</w:t>
    </w:r>
    <w:r w:rsidRPr="00856AFB">
      <w:rPr>
        <w:rFonts w:ascii="Calibri" w:hAnsi="Calibri"/>
        <w:i/>
        <w:sz w:val="18"/>
        <w:lang w:val="de-AT"/>
      </w:rPr>
      <w:tab/>
    </w:r>
    <w:r w:rsidRPr="00856AFB">
      <w:rPr>
        <w:rFonts w:ascii="Calibri" w:hAnsi="Calibri"/>
        <w:i/>
        <w:sz w:val="18"/>
        <w:lang w:val="de-AT"/>
      </w:rPr>
      <w:tab/>
      <w:t>Klagenfurt, Gabelsbergerstraße 5/1</w:t>
    </w:r>
  </w:p>
  <w:p w14:paraId="52C676F0" w14:textId="77777777" w:rsidR="006E204A" w:rsidRPr="006E204A" w:rsidRDefault="006E204A">
    <w:pPr>
      <w:pStyle w:val="Kopfzeile"/>
      <w:jc w:val="center"/>
      <w:rPr>
        <w:rFonts w:asciiTheme="minorHAnsi" w:hAnsiTheme="minorHAnsi" w:cstheme="minorHAnsi"/>
      </w:rPr>
    </w:pPr>
  </w:p>
  <w:p w14:paraId="22CDA67D" w14:textId="77777777" w:rsidR="00F749D9" w:rsidRDefault="00F749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6F3"/>
    <w:multiLevelType w:val="hybridMultilevel"/>
    <w:tmpl w:val="6D0A8C1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67204"/>
    <w:multiLevelType w:val="hybridMultilevel"/>
    <w:tmpl w:val="F10A9B50"/>
    <w:lvl w:ilvl="0" w:tplc="2BA020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4011">
    <w:abstractNumId w:val="1"/>
  </w:num>
  <w:num w:numId="2" w16cid:durableId="78231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60"/>
    <w:rsid w:val="001B67FF"/>
    <w:rsid w:val="001D55CB"/>
    <w:rsid w:val="00234A22"/>
    <w:rsid w:val="0024633B"/>
    <w:rsid w:val="002D7980"/>
    <w:rsid w:val="002F3770"/>
    <w:rsid w:val="00312018"/>
    <w:rsid w:val="003B7144"/>
    <w:rsid w:val="00402F10"/>
    <w:rsid w:val="0047266F"/>
    <w:rsid w:val="0049682E"/>
    <w:rsid w:val="00497145"/>
    <w:rsid w:val="00540357"/>
    <w:rsid w:val="0057455D"/>
    <w:rsid w:val="005B3600"/>
    <w:rsid w:val="005E74A2"/>
    <w:rsid w:val="0066235E"/>
    <w:rsid w:val="006B4332"/>
    <w:rsid w:val="006E204A"/>
    <w:rsid w:val="00750F26"/>
    <w:rsid w:val="00801539"/>
    <w:rsid w:val="00827EC8"/>
    <w:rsid w:val="008F7F43"/>
    <w:rsid w:val="009C009C"/>
    <w:rsid w:val="00AC7AC7"/>
    <w:rsid w:val="00B95DD4"/>
    <w:rsid w:val="00C90360"/>
    <w:rsid w:val="00D166D6"/>
    <w:rsid w:val="00D9631A"/>
    <w:rsid w:val="00D9669A"/>
    <w:rsid w:val="00F04D90"/>
    <w:rsid w:val="00F56FC0"/>
    <w:rsid w:val="00F749D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57B0BF"/>
  <w15:chartTrackingRefBased/>
  <w15:docId w15:val="{ADF9F81E-764D-416C-80F3-8C6C7C5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semiHidden/>
  </w:style>
  <w:style w:type="paragraph" w:styleId="Titel">
    <w:name w:val="Title"/>
    <w:basedOn w:val="Standard"/>
    <w:qFormat/>
    <w:pPr>
      <w:spacing w:after="120"/>
      <w:jc w:val="center"/>
    </w:pPr>
    <w:rPr>
      <w:b/>
      <w:sz w:val="3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E204A"/>
    <w:rPr>
      <w:rFonts w:ascii="Times New Roman" w:hAnsi="Times New Roman"/>
      <w:lang w:val="de-DE"/>
    </w:rPr>
  </w:style>
  <w:style w:type="paragraph" w:styleId="KeinLeerraum">
    <w:name w:val="No Spacing"/>
    <w:uiPriority w:val="1"/>
    <w:qFormat/>
    <w:rsid w:val="005B3600"/>
    <w:rPr>
      <w:rFonts w:ascii="Times New Roman" w:hAnsi="Times New Roman"/>
      <w:lang w:val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C7AC7"/>
    <w:rPr>
      <w:rFonts w:ascii="Times New Roman" w:hAnsi="Times New Roman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7AC7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7AC7"/>
    <w:rPr>
      <w:rFonts w:ascii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FA2C-7AB0-4633-B2BC-5A4426F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Zusammensetzung der Ausschüsse</vt:lpstr>
    </vt:vector>
  </TitlesOfParts>
  <Company>Kärntner Gemeindebund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Zusammensetzung der Ausschüsse</dc:title>
  <dc:subject/>
  <dc:creator>Kärntner Gemeindebund</dc:creator>
  <cp:keywords/>
  <cp:lastModifiedBy>HOBEL Gernot (Kärntner Gemeindebund)</cp:lastModifiedBy>
  <cp:revision>9</cp:revision>
  <cp:lastPrinted>1997-02-26T08:04:00Z</cp:lastPrinted>
  <dcterms:created xsi:type="dcterms:W3CDTF">2020-03-06T08:39:00Z</dcterms:created>
  <dcterms:modified xsi:type="dcterms:W3CDTF">2024-12-23T07:19:00Z</dcterms:modified>
</cp:coreProperties>
</file>